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F610D" w14:textId="21E579F1" w:rsidR="001A7A1C" w:rsidRPr="00CA2A40" w:rsidRDefault="00A10AAC" w:rsidP="001A7A1C">
      <w:pPr>
        <w:pStyle w:val="afb"/>
        <w:rPr>
          <w:rFonts w:eastAsia="宋体"/>
          <w:szCs w:val="22"/>
          <w:lang w:eastAsia="zh-CN"/>
        </w:rPr>
      </w:pPr>
      <w:bookmarkStart w:id="0" w:name="_Ref399006623"/>
      <w:bookmarkStart w:id="1" w:name="_Toc92513360"/>
      <w:r w:rsidRPr="00CA2A40">
        <w:rPr>
          <w:szCs w:val="22"/>
        </w:rPr>
        <w:t>3GPP TSG-RAN WG4 Meeting #</w:t>
      </w:r>
      <w:r w:rsidR="001A7A1C" w:rsidRPr="00CA2A40">
        <w:rPr>
          <w:rFonts w:cs="Arial"/>
          <w:szCs w:val="22"/>
        </w:rPr>
        <w:t>11</w:t>
      </w:r>
      <w:r w:rsidR="001A7A1C">
        <w:rPr>
          <w:rFonts w:cs="Arial"/>
          <w:szCs w:val="22"/>
        </w:rPr>
        <w:t>4</w:t>
      </w:r>
      <w:r w:rsidR="001A7A1C" w:rsidRPr="00CA2A40">
        <w:rPr>
          <w:rFonts w:cs="Arial"/>
          <w:szCs w:val="22"/>
        </w:rPr>
        <w:t xml:space="preserve">    </w:t>
      </w:r>
      <w:r w:rsidR="001A7A1C" w:rsidRPr="00CA2A40">
        <w:rPr>
          <w:rFonts w:eastAsia="宋体" w:hint="eastAsia"/>
          <w:szCs w:val="22"/>
          <w:lang w:eastAsia="zh-CN"/>
        </w:rPr>
        <w:t xml:space="preserve">            </w:t>
      </w:r>
      <w:r w:rsidR="001A7A1C" w:rsidRPr="00CA2A40">
        <w:rPr>
          <w:rFonts w:eastAsia="宋体"/>
          <w:szCs w:val="22"/>
          <w:lang w:eastAsia="zh-CN"/>
        </w:rPr>
        <w:t xml:space="preserve">   </w:t>
      </w:r>
      <w:r w:rsidR="001A7A1C" w:rsidRPr="00CA2A40">
        <w:rPr>
          <w:rFonts w:eastAsia="宋体" w:hint="eastAsia"/>
          <w:szCs w:val="22"/>
          <w:lang w:eastAsia="zh-CN"/>
        </w:rPr>
        <w:t xml:space="preserve">         </w:t>
      </w:r>
      <w:r w:rsidR="001A7A1C">
        <w:rPr>
          <w:rFonts w:eastAsia="宋体"/>
          <w:szCs w:val="22"/>
          <w:lang w:eastAsia="zh-CN"/>
        </w:rPr>
        <w:t xml:space="preserve">    </w:t>
      </w:r>
      <w:r w:rsidR="001A7A1C" w:rsidRPr="00CA2A40">
        <w:rPr>
          <w:rFonts w:eastAsia="宋体" w:hint="eastAsia"/>
          <w:szCs w:val="22"/>
          <w:lang w:eastAsia="zh-CN"/>
        </w:rPr>
        <w:t xml:space="preserve">  </w:t>
      </w:r>
      <w:r w:rsidR="001A7A1C" w:rsidRPr="00CA2A40">
        <w:rPr>
          <w:rFonts w:eastAsia="宋体"/>
          <w:szCs w:val="22"/>
          <w:lang w:eastAsia="zh-CN"/>
        </w:rPr>
        <w:t xml:space="preserve">   </w:t>
      </w:r>
      <w:r w:rsidR="001A7A1C">
        <w:rPr>
          <w:rFonts w:eastAsia="宋体"/>
          <w:szCs w:val="22"/>
          <w:lang w:eastAsia="zh-CN"/>
        </w:rPr>
        <w:t xml:space="preserve">   </w:t>
      </w:r>
      <w:r w:rsidR="001A7A1C" w:rsidRPr="00CA2A40">
        <w:rPr>
          <w:rFonts w:eastAsia="宋体"/>
          <w:szCs w:val="22"/>
          <w:lang w:eastAsia="zh-CN"/>
        </w:rPr>
        <w:t xml:space="preserve"> </w:t>
      </w:r>
      <w:r w:rsidR="004928A5" w:rsidRPr="004928A5">
        <w:rPr>
          <w:rFonts w:eastAsia="宋体"/>
          <w:szCs w:val="22"/>
          <w:lang w:eastAsia="zh-CN"/>
        </w:rPr>
        <w:t>R4-2501834</w:t>
      </w:r>
      <w:bookmarkStart w:id="2" w:name="_GoBack"/>
      <w:bookmarkEnd w:id="2"/>
    </w:p>
    <w:p w14:paraId="555191E2" w14:textId="755B04EA" w:rsidR="00C11A69" w:rsidRPr="00CA2A40" w:rsidRDefault="001A7A1C" w:rsidP="001A7A1C">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6E545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MPR applicability for FR1 </w:t>
      </w:r>
      <w:r w:rsidR="00D819D1" w:rsidRPr="00D819D1">
        <w:rPr>
          <w:rFonts w:ascii="Arial" w:hAnsi="Arial" w:cs="Arial"/>
          <w:sz w:val="22"/>
          <w:szCs w:val="22"/>
        </w:rPr>
        <w:t>intra-band UL CA</w:t>
      </w:r>
    </w:p>
    <w:p w14:paraId="4FD55D83" w14:textId="7C9CB10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F0849">
        <w:rPr>
          <w:rFonts w:ascii="Arial" w:hAnsi="Arial" w:cs="Arial"/>
          <w:sz w:val="22"/>
          <w:szCs w:val="22"/>
        </w:rPr>
        <w:t>7</w:t>
      </w:r>
      <w:r w:rsidR="00112623">
        <w:rPr>
          <w:rFonts w:ascii="Arial" w:hAnsi="Arial" w:cs="Arial"/>
          <w:sz w:val="22"/>
          <w:szCs w:val="22"/>
        </w:rPr>
        <w:t>.1.1.2</w:t>
      </w:r>
      <w:r w:rsidR="00066491">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A777AEF" w:rsidR="00AB1467" w:rsidRDefault="00E11C52" w:rsidP="00AB1467">
      <w:pPr>
        <w:jc w:val="both"/>
      </w:pPr>
      <w:r>
        <w:t>During</w:t>
      </w:r>
      <w:r w:rsidR="00AB1467">
        <w:t xml:space="preserve"> RAN</w:t>
      </w:r>
      <w:r w:rsidR="009676FD">
        <w:t>4</w:t>
      </w:r>
      <w:r w:rsidR="008B6EC4">
        <w:t>#</w:t>
      </w:r>
      <w:r w:rsidR="00F72EAC">
        <w:t>1</w:t>
      </w:r>
      <w:r w:rsidR="009676FD">
        <w:t>1</w:t>
      </w:r>
      <w:r w:rsidR="00F43858">
        <w:t>3</w:t>
      </w:r>
      <w:r w:rsidR="008B6EC4">
        <w:t xml:space="preserve">, </w:t>
      </w:r>
      <w:r w:rsidR="007E777D">
        <w:t>MPR applicability</w:t>
      </w:r>
      <w:r w:rsidR="007E777D" w:rsidRPr="007E777D">
        <w:rPr>
          <w:rFonts w:eastAsia="Times New Roman"/>
          <w:sz w:val="24"/>
          <w:lang w:eastAsia="en-GB"/>
        </w:rPr>
        <w:t xml:space="preserve"> </w:t>
      </w:r>
      <w:r w:rsidR="007E777D" w:rsidRPr="007E777D">
        <w:t>for FR</w:t>
      </w:r>
      <w:r w:rsidR="00844483">
        <w:t>1</w:t>
      </w:r>
      <w:r w:rsidR="007E777D" w:rsidRPr="007E777D">
        <w:t xml:space="preserve"> </w:t>
      </w:r>
      <w:r w:rsidR="00844483" w:rsidRPr="00844483">
        <w:t>intra-band contiguous</w:t>
      </w:r>
      <w:r w:rsidR="00844483">
        <w:t>/non-contiguous</w:t>
      </w:r>
      <w:r w:rsidR="00844483" w:rsidRPr="00844483">
        <w:t xml:space="preserve"> UL CA</w:t>
      </w:r>
      <w:r w:rsidR="00F06EA1">
        <w:t xml:space="preserve"> </w:t>
      </w:r>
      <w:r w:rsidR="00844483">
        <w:t>has</w:t>
      </w:r>
      <w:r w:rsidR="00F06EA1">
        <w:t xml:space="preserve"> been </w:t>
      </w:r>
      <w:r w:rsidR="008741F1">
        <w:t>discussed</w:t>
      </w:r>
      <w:r w:rsidR="00F06EA1">
        <w:t>.</w:t>
      </w:r>
      <w:r w:rsidR="008741F1">
        <w:t xml:space="preserve"> Following conclusion</w:t>
      </w:r>
      <w:r w:rsidR="00844483">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DFBC9FD" w14:textId="4F99C264" w:rsidR="004B64F5" w:rsidRPr="00B02121" w:rsidRDefault="004B64F5" w:rsidP="004B64F5">
            <w:pPr>
              <w:pStyle w:val="3"/>
              <w:numPr>
                <w:ilvl w:val="0"/>
                <w:numId w:val="0"/>
              </w:numPr>
              <w:ind w:left="510" w:hanging="510"/>
              <w:outlineLvl w:val="2"/>
              <w:rPr>
                <w:color w:val="000000" w:themeColor="text1"/>
                <w:sz w:val="24"/>
                <w:szCs w:val="16"/>
              </w:rPr>
            </w:pPr>
            <w:r w:rsidRPr="00B02121">
              <w:rPr>
                <w:color w:val="000000" w:themeColor="text1"/>
                <w:sz w:val="24"/>
                <w:szCs w:val="16"/>
              </w:rPr>
              <w:t>Intra-band contiguous UL CA</w:t>
            </w:r>
          </w:p>
          <w:p w14:paraId="6F80DA94" w14:textId="77777777" w:rsidR="004B64F5" w:rsidRPr="00B02121" w:rsidRDefault="004B64F5" w:rsidP="004B64F5">
            <w:pPr>
              <w:rPr>
                <w:i/>
                <w:color w:val="000000" w:themeColor="text1"/>
                <w:lang w:val="en-US"/>
              </w:rPr>
            </w:pPr>
            <w:r w:rsidRPr="00B02121">
              <w:rPr>
                <w:rFonts w:hint="eastAsia"/>
                <w:i/>
                <w:color w:val="000000" w:themeColor="text1"/>
                <w:lang w:val="en-US"/>
              </w:rPr>
              <w:t xml:space="preserve">Sub-topic description </w:t>
            </w:r>
          </w:p>
          <w:p w14:paraId="3D4E60B8" w14:textId="77777777" w:rsidR="004B64F5" w:rsidRPr="00B02121" w:rsidRDefault="004B64F5" w:rsidP="004B64F5">
            <w:pPr>
              <w:rPr>
                <w:i/>
                <w:color w:val="000000" w:themeColor="text1"/>
                <w:lang w:val="en-US"/>
              </w:rPr>
            </w:pPr>
            <w:r w:rsidRPr="00B02121">
              <w:rPr>
                <w:i/>
                <w:color w:val="000000" w:themeColor="text1"/>
                <w:lang w:val="en-US"/>
              </w:rPr>
              <w:t>Open issues and c</w:t>
            </w:r>
            <w:r w:rsidRPr="00B02121">
              <w:rPr>
                <w:rFonts w:hint="eastAsia"/>
                <w:i/>
                <w:color w:val="000000" w:themeColor="text1"/>
                <w:lang w:val="en-US"/>
              </w:rPr>
              <w:t>andidate options before meeting:</w:t>
            </w:r>
          </w:p>
          <w:p w14:paraId="02E13D8D" w14:textId="77777777" w:rsidR="004B64F5" w:rsidRPr="00B02121" w:rsidRDefault="004B64F5" w:rsidP="004B64F5">
            <w:pPr>
              <w:pStyle w:val="4"/>
              <w:numPr>
                <w:ilvl w:val="0"/>
                <w:numId w:val="0"/>
              </w:numPr>
              <w:spacing w:before="0"/>
              <w:ind w:left="420"/>
              <w:outlineLvl w:val="3"/>
              <w:rPr>
                <w:rFonts w:ascii="Times New Roman" w:hAnsi="Times New Roman"/>
                <w:b/>
                <w:color w:val="000000" w:themeColor="text1"/>
                <w:sz w:val="20"/>
                <w:u w:val="single"/>
                <w:lang w:eastAsia="ko-KR"/>
              </w:rPr>
            </w:pPr>
            <w:r w:rsidRPr="00B02121">
              <w:rPr>
                <w:rFonts w:ascii="Times New Roman" w:hAnsi="Times New Roman"/>
                <w:b/>
                <w:color w:val="000000" w:themeColor="text1"/>
                <w:sz w:val="20"/>
                <w:u w:val="single"/>
                <w:lang w:eastAsia="ko-KR"/>
              </w:rPr>
              <w:t xml:space="preserve">Issue 2-1-1: </w:t>
            </w:r>
            <w:r w:rsidRPr="00B02121">
              <w:rPr>
                <w:rFonts w:ascii="Times New Roman" w:hAnsi="Times New Roman"/>
                <w:b/>
                <w:color w:val="000000" w:themeColor="text1"/>
                <w:sz w:val="20"/>
                <w:u w:val="single"/>
              </w:rPr>
              <w:t>Applicable emission requirements for PC2/PC3 intra-band contiguous CA with single activated cell</w:t>
            </w:r>
          </w:p>
          <w:p w14:paraId="1603015F" w14:textId="77777777" w:rsidR="004B64F5" w:rsidRPr="00B02121" w:rsidRDefault="004B64F5" w:rsidP="004B64F5">
            <w:pPr>
              <w:spacing w:beforeLines="50" w:before="120" w:after="60"/>
              <w:jc w:val="both"/>
              <w:rPr>
                <w:b/>
                <w:bCs/>
                <w:color w:val="000000" w:themeColor="text1"/>
                <w:szCs w:val="24"/>
                <w:highlight w:val="green"/>
              </w:rPr>
            </w:pPr>
            <w:r w:rsidRPr="00B02121">
              <w:rPr>
                <w:rFonts w:hint="eastAsia"/>
                <w:b/>
                <w:bCs/>
                <w:color w:val="000000" w:themeColor="text1"/>
                <w:szCs w:val="24"/>
                <w:highlight w:val="green"/>
              </w:rPr>
              <w:t>A</w:t>
            </w:r>
            <w:r w:rsidRPr="00B02121">
              <w:rPr>
                <w:b/>
                <w:bCs/>
                <w:color w:val="000000" w:themeColor="text1"/>
                <w:szCs w:val="24"/>
                <w:highlight w:val="green"/>
              </w:rPr>
              <w:t>greement in main session:</w:t>
            </w:r>
          </w:p>
          <w:p w14:paraId="0C58675E" w14:textId="77777777" w:rsidR="004B64F5" w:rsidRPr="004B64F5" w:rsidRDefault="004B64F5" w:rsidP="004B64F5">
            <w:pPr>
              <w:pStyle w:val="aff6"/>
              <w:widowControl/>
              <w:numPr>
                <w:ilvl w:val="0"/>
                <w:numId w:val="45"/>
              </w:numPr>
              <w:overflowPunct w:val="0"/>
              <w:autoSpaceDE w:val="0"/>
              <w:autoSpaceDN w:val="0"/>
              <w:adjustRightInd w:val="0"/>
              <w:spacing w:after="180"/>
              <w:ind w:firstLineChars="0"/>
              <w:jc w:val="left"/>
              <w:textAlignment w:val="baseline"/>
              <w:rPr>
                <w:rFonts w:ascii="Times New Roman" w:eastAsiaTheme="minorEastAsia" w:hAnsi="Times New Roman"/>
                <w:color w:val="000000" w:themeColor="text1"/>
              </w:rPr>
            </w:pPr>
            <w:r w:rsidRPr="004B64F5">
              <w:rPr>
                <w:rFonts w:ascii="Times New Roman" w:eastAsiaTheme="minorEastAsia" w:hAnsi="Times New Roman"/>
                <w:color w:val="000000" w:themeColor="text1"/>
              </w:rPr>
              <w:t>ULCA emission requirements (SEM/ACLR/SE) based on the aggregated BW should apply, independent of the dualPA IE indication.</w:t>
            </w:r>
          </w:p>
          <w:p w14:paraId="36824110" w14:textId="77777777" w:rsidR="004B64F5" w:rsidRPr="00B02121" w:rsidRDefault="004B64F5" w:rsidP="004B64F5">
            <w:pPr>
              <w:spacing w:after="0"/>
              <w:rPr>
                <w:color w:val="000000" w:themeColor="text1"/>
                <w:szCs w:val="24"/>
              </w:rPr>
            </w:pPr>
          </w:p>
          <w:p w14:paraId="3E06DA54" w14:textId="77777777" w:rsidR="004B64F5" w:rsidRPr="00B02121" w:rsidRDefault="004B64F5" w:rsidP="004B64F5">
            <w:pPr>
              <w:spacing w:after="120"/>
              <w:rPr>
                <w:iCs/>
                <w:color w:val="000000" w:themeColor="text1"/>
                <w:lang w:val="en-US"/>
              </w:rPr>
            </w:pPr>
          </w:p>
          <w:p w14:paraId="27F2A85A" w14:textId="77777777" w:rsidR="004B64F5" w:rsidRPr="00B02121" w:rsidRDefault="004B64F5" w:rsidP="004B64F5">
            <w:pPr>
              <w:pStyle w:val="4"/>
              <w:numPr>
                <w:ilvl w:val="0"/>
                <w:numId w:val="0"/>
              </w:numPr>
              <w:spacing w:before="0"/>
              <w:ind w:left="1299" w:hanging="879"/>
              <w:outlineLvl w:val="3"/>
              <w:rPr>
                <w:rFonts w:ascii="Times New Roman" w:hAnsi="Times New Roman"/>
                <w:b/>
                <w:color w:val="000000" w:themeColor="text1"/>
                <w:sz w:val="20"/>
                <w:u w:val="single"/>
                <w:lang w:eastAsia="ko-KR"/>
              </w:rPr>
            </w:pPr>
            <w:r w:rsidRPr="00B02121">
              <w:rPr>
                <w:rFonts w:ascii="Times New Roman" w:hAnsi="Times New Roman"/>
                <w:b/>
                <w:color w:val="000000" w:themeColor="text1"/>
                <w:sz w:val="20"/>
                <w:u w:val="single"/>
                <w:lang w:eastAsia="ko-KR"/>
              </w:rPr>
              <w:t xml:space="preserve">Issue 2-1-2: </w:t>
            </w:r>
            <w:r w:rsidRPr="00B02121">
              <w:rPr>
                <w:rFonts w:ascii="Times New Roman" w:hAnsi="Times New Roman"/>
                <w:b/>
                <w:color w:val="000000" w:themeColor="text1"/>
                <w:sz w:val="20"/>
                <w:u w:val="single"/>
              </w:rPr>
              <w:t>Applicable emission requirements for PC1.5 intra-band contiguous CA with single activated cell</w:t>
            </w:r>
          </w:p>
          <w:p w14:paraId="23314463" w14:textId="77777777" w:rsidR="004B64F5" w:rsidRPr="00715056" w:rsidRDefault="004B64F5" w:rsidP="004B64F5">
            <w:pPr>
              <w:spacing w:beforeLines="50" w:before="120" w:after="60"/>
              <w:jc w:val="both"/>
              <w:rPr>
                <w:b/>
                <w:bCs/>
                <w:color w:val="000000" w:themeColor="text1"/>
                <w:szCs w:val="24"/>
              </w:rPr>
            </w:pPr>
            <w:r w:rsidRPr="00E408D7">
              <w:rPr>
                <w:b/>
                <w:bCs/>
                <w:color w:val="000000" w:themeColor="text1"/>
                <w:szCs w:val="24"/>
                <w:highlight w:val="green"/>
              </w:rPr>
              <w:t>Agreement</w:t>
            </w:r>
          </w:p>
          <w:p w14:paraId="34194C94" w14:textId="77777777" w:rsidR="004B64F5" w:rsidRPr="004B64F5" w:rsidRDefault="004B64F5" w:rsidP="004B64F5">
            <w:pPr>
              <w:pStyle w:val="aff6"/>
              <w:widowControl/>
              <w:numPr>
                <w:ilvl w:val="1"/>
                <w:numId w:val="32"/>
              </w:numPr>
              <w:spacing w:after="120"/>
              <w:ind w:left="1440" w:firstLineChars="0"/>
              <w:rPr>
                <w:rFonts w:ascii="Times New Roman" w:eastAsiaTheme="minorEastAsia" w:hAnsi="Times New Roman"/>
                <w:color w:val="000000" w:themeColor="text1"/>
              </w:rPr>
            </w:pPr>
            <w:r w:rsidRPr="004B64F5">
              <w:rPr>
                <w:rFonts w:ascii="Times New Roman" w:eastAsiaTheme="minorEastAsia" w:hAnsi="Times New Roman" w:hint="eastAsia"/>
                <w:color w:val="000000" w:themeColor="text1"/>
              </w:rPr>
              <w:t>D</w:t>
            </w:r>
            <w:r w:rsidRPr="004B64F5">
              <w:rPr>
                <w:rFonts w:ascii="Times New Roman" w:eastAsiaTheme="minorEastAsia" w:hAnsi="Times New Roman"/>
                <w:color w:val="000000" w:themeColor="text1"/>
              </w:rPr>
              <w:t>rop the discussion, as it was already discussed and agreed in last meeting that to further discuss handling of PC1.5 once the UL CA requirements are available</w:t>
            </w:r>
          </w:p>
          <w:p w14:paraId="499B8F99" w14:textId="77777777" w:rsidR="004B64F5" w:rsidRPr="00B02121" w:rsidRDefault="004B64F5" w:rsidP="004B64F5">
            <w:pPr>
              <w:spacing w:after="120"/>
              <w:rPr>
                <w:iCs/>
                <w:color w:val="000000" w:themeColor="text1"/>
                <w:lang w:val="en-US"/>
              </w:rPr>
            </w:pPr>
          </w:p>
          <w:p w14:paraId="6FE0C582" w14:textId="5CA57582" w:rsidR="004B64F5" w:rsidRPr="00B02121" w:rsidRDefault="004B64F5" w:rsidP="004B64F5">
            <w:pPr>
              <w:pStyle w:val="3"/>
              <w:numPr>
                <w:ilvl w:val="0"/>
                <w:numId w:val="0"/>
              </w:numPr>
              <w:ind w:left="510" w:hanging="510"/>
              <w:outlineLvl w:val="2"/>
              <w:rPr>
                <w:color w:val="000000" w:themeColor="text1"/>
                <w:sz w:val="24"/>
                <w:szCs w:val="16"/>
              </w:rPr>
            </w:pPr>
            <w:r w:rsidRPr="00B02121">
              <w:rPr>
                <w:color w:val="000000" w:themeColor="text1"/>
                <w:sz w:val="24"/>
                <w:szCs w:val="16"/>
              </w:rPr>
              <w:t>Intra-band non-contiguous CA</w:t>
            </w:r>
          </w:p>
          <w:p w14:paraId="1D05FFC5" w14:textId="77777777" w:rsidR="004B64F5" w:rsidRPr="00B02121" w:rsidRDefault="004B64F5" w:rsidP="004B64F5">
            <w:pPr>
              <w:pStyle w:val="4"/>
              <w:numPr>
                <w:ilvl w:val="0"/>
                <w:numId w:val="0"/>
              </w:numPr>
              <w:spacing w:before="0"/>
              <w:ind w:left="1299" w:hanging="879"/>
              <w:outlineLvl w:val="3"/>
              <w:rPr>
                <w:rFonts w:ascii="Times New Roman" w:hAnsi="Times New Roman"/>
                <w:b/>
                <w:color w:val="000000" w:themeColor="text1"/>
                <w:sz w:val="20"/>
                <w:u w:val="single"/>
                <w:lang w:eastAsia="ko-KR"/>
              </w:rPr>
            </w:pPr>
            <w:r w:rsidRPr="00B02121">
              <w:rPr>
                <w:rFonts w:ascii="Times New Roman" w:hAnsi="Times New Roman"/>
                <w:b/>
                <w:color w:val="000000" w:themeColor="text1"/>
                <w:sz w:val="20"/>
                <w:u w:val="single"/>
                <w:lang w:eastAsia="ko-KR"/>
              </w:rPr>
              <w:t>Issue 2-2-1: Applicable MPR and corresponding spectrum requirements for PC2/PC3 intra-band NC CA</w:t>
            </w:r>
          </w:p>
          <w:p w14:paraId="0A31DFA4" w14:textId="77777777" w:rsidR="004B64F5" w:rsidRPr="00B02121" w:rsidRDefault="004B64F5" w:rsidP="004B64F5">
            <w:pPr>
              <w:spacing w:beforeLines="50" w:before="120" w:after="60"/>
              <w:jc w:val="both"/>
              <w:rPr>
                <w:iCs/>
                <w:color w:val="000000" w:themeColor="text1"/>
                <w:highlight w:val="green"/>
                <w:lang w:val="en-US"/>
              </w:rPr>
            </w:pPr>
            <w:r w:rsidRPr="00B02121">
              <w:rPr>
                <w:rFonts w:hint="eastAsia"/>
                <w:b/>
                <w:bCs/>
                <w:color w:val="000000" w:themeColor="text1"/>
                <w:szCs w:val="24"/>
                <w:highlight w:val="green"/>
              </w:rPr>
              <w:t>A</w:t>
            </w:r>
            <w:r w:rsidRPr="00B02121">
              <w:rPr>
                <w:b/>
                <w:bCs/>
                <w:color w:val="000000" w:themeColor="text1"/>
                <w:szCs w:val="24"/>
                <w:highlight w:val="green"/>
              </w:rPr>
              <w:t>greement in main session:</w:t>
            </w:r>
          </w:p>
          <w:p w14:paraId="365D5D76" w14:textId="77777777" w:rsidR="004B64F5" w:rsidRPr="004B64F5" w:rsidRDefault="004B64F5" w:rsidP="004B64F5">
            <w:pPr>
              <w:pStyle w:val="aff6"/>
              <w:widowControl/>
              <w:numPr>
                <w:ilvl w:val="0"/>
                <w:numId w:val="45"/>
              </w:numPr>
              <w:overflowPunct w:val="0"/>
              <w:autoSpaceDE w:val="0"/>
              <w:autoSpaceDN w:val="0"/>
              <w:adjustRightInd w:val="0"/>
              <w:spacing w:after="180"/>
              <w:ind w:firstLineChars="0"/>
              <w:textAlignment w:val="baseline"/>
              <w:rPr>
                <w:rFonts w:ascii="Times New Roman" w:eastAsiaTheme="minorEastAsia" w:hAnsi="Times New Roman"/>
                <w:color w:val="000000" w:themeColor="text1"/>
              </w:rPr>
            </w:pPr>
            <w:r w:rsidRPr="004B64F5">
              <w:rPr>
                <w:rFonts w:ascii="Times New Roman" w:eastAsiaTheme="minorEastAsia" w:hAnsi="Times New Roman"/>
                <w:color w:val="000000" w:themeColor="text1"/>
              </w:rPr>
              <w:t>No change of applicable MPR requirement in current spec but with clarification that applicable emission requirements are composite based regardless of dualPA IE indication.</w:t>
            </w:r>
          </w:p>
          <w:p w14:paraId="36D74B43" w14:textId="77777777" w:rsidR="004B64F5" w:rsidRPr="004B64F5" w:rsidRDefault="004B64F5" w:rsidP="004B64F5">
            <w:pPr>
              <w:pStyle w:val="aff6"/>
              <w:widowControl/>
              <w:numPr>
                <w:ilvl w:val="1"/>
                <w:numId w:val="45"/>
              </w:numPr>
              <w:overflowPunct w:val="0"/>
              <w:autoSpaceDE w:val="0"/>
              <w:autoSpaceDN w:val="0"/>
              <w:adjustRightInd w:val="0"/>
              <w:spacing w:after="180"/>
              <w:ind w:firstLineChars="0"/>
              <w:textAlignment w:val="baseline"/>
              <w:rPr>
                <w:rFonts w:ascii="Times New Roman" w:eastAsiaTheme="minorEastAsia" w:hAnsi="Times New Roman"/>
                <w:color w:val="000000" w:themeColor="text1"/>
              </w:rPr>
            </w:pPr>
            <w:r w:rsidRPr="004B64F5">
              <w:rPr>
                <w:rFonts w:ascii="Times New Roman" w:eastAsiaTheme="minorEastAsia" w:hAnsi="Times New Roman"/>
                <w:color w:val="000000" w:themeColor="text1"/>
              </w:rPr>
              <w:t>FFS on whether update MPR for Single CC Fallback from Non-contiguous ULCA without dual PA support depending on UE capability.</w:t>
            </w:r>
          </w:p>
          <w:p w14:paraId="7E044887" w14:textId="0AC5E61F" w:rsidR="0067071C" w:rsidRPr="004B64F5" w:rsidRDefault="004B64F5" w:rsidP="004B64F5">
            <w:pPr>
              <w:pStyle w:val="aff6"/>
              <w:widowControl/>
              <w:numPr>
                <w:ilvl w:val="1"/>
                <w:numId w:val="45"/>
              </w:numPr>
              <w:overflowPunct w:val="0"/>
              <w:autoSpaceDE w:val="0"/>
              <w:autoSpaceDN w:val="0"/>
              <w:adjustRightInd w:val="0"/>
              <w:spacing w:after="180"/>
              <w:ind w:firstLineChars="0"/>
              <w:textAlignment w:val="baseline"/>
              <w:rPr>
                <w:rFonts w:eastAsiaTheme="minorEastAsia"/>
                <w:color w:val="000000" w:themeColor="text1"/>
              </w:rPr>
            </w:pPr>
            <w:r w:rsidRPr="004B64F5">
              <w:rPr>
                <w:rFonts w:ascii="Times New Roman" w:eastAsiaTheme="minorEastAsia" w:hAnsi="Times New Roman"/>
                <w:color w:val="000000" w:themeColor="text1"/>
                <w:lang w:eastAsia="zh-CN"/>
              </w:rPr>
              <w:t xml:space="preserve">Note: </w:t>
            </w:r>
            <w:r w:rsidRPr="004B64F5">
              <w:rPr>
                <w:rFonts w:ascii="Times New Roman" w:eastAsiaTheme="minorEastAsia" w:hAnsi="Times New Roman"/>
                <w:color w:val="000000" w:themeColor="text1"/>
              </w:rPr>
              <w:t>Composite emissions means</w:t>
            </w:r>
            <w:r w:rsidRPr="004B64F5">
              <w:rPr>
                <w:rFonts w:ascii="Times New Roman" w:eastAsiaTheme="minorEastAsia" w:hAnsi="Times New Roman"/>
                <w:color w:val="000000" w:themeColor="text1"/>
                <w:lang w:eastAsia="zh-CN"/>
              </w:rPr>
              <w:t xml:space="preserve"> </w:t>
            </w:r>
            <w:r w:rsidRPr="004B64F5">
              <w:rPr>
                <w:rFonts w:ascii="Times New Roman" w:hAnsi="Times New Roman"/>
                <w:lang w:eastAsia="zh-CN"/>
              </w:rPr>
              <w:t>combination of individual sub-block emissions.</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10CC37C" w14:textId="78B4F974" w:rsidR="00010884" w:rsidRPr="00010884" w:rsidRDefault="00062E8E" w:rsidP="00010884">
      <w:pPr>
        <w:pStyle w:val="1"/>
        <w:spacing w:after="240"/>
        <w:rPr>
          <w:rFonts w:eastAsia="宋体"/>
          <w:lang w:eastAsia="zh-CN"/>
        </w:rPr>
      </w:pPr>
      <w:r>
        <w:rPr>
          <w:rFonts w:eastAsia="宋体" w:hint="eastAsia"/>
          <w:lang w:eastAsia="zh-CN"/>
        </w:rPr>
        <w:lastRenderedPageBreak/>
        <w:t>Discussion</w:t>
      </w:r>
    </w:p>
    <w:p w14:paraId="3D990CD1" w14:textId="2E2FA691" w:rsidR="0003133E" w:rsidRDefault="004671AD" w:rsidP="00862E42">
      <w:pPr>
        <w:jc w:val="both"/>
      </w:pPr>
      <w:r>
        <w:t>One remaining issue is whether update the MPR applicability for single CC fallback from non-contiguous ULCA w/o dualP</w:t>
      </w:r>
      <w:r w:rsidR="00F5283B">
        <w:t>A supportin</w:t>
      </w:r>
      <w:r w:rsidR="00012234">
        <w:t xml:space="preserve">g. </w:t>
      </w:r>
      <w:r w:rsidR="00135543">
        <w:t xml:space="preserve">The proposal in [2] is to further improve the </w:t>
      </w:r>
      <w:r w:rsidR="003C3A75">
        <w:t>MPR granularity</w:t>
      </w:r>
      <w:r w:rsidR="00135543">
        <w:t xml:space="preserve"> </w:t>
      </w:r>
      <w:r w:rsidR="0003133E">
        <w:t xml:space="preserve">for small bandwidth </w:t>
      </w:r>
      <w:r w:rsidR="00135543">
        <w:t>by using the evaluation results in [3]</w:t>
      </w:r>
      <w:r w:rsidR="0003133E">
        <w:t>:</w:t>
      </w:r>
    </w:p>
    <w:tbl>
      <w:tblPr>
        <w:tblStyle w:val="af8"/>
        <w:tblW w:w="0" w:type="auto"/>
        <w:tblLook w:val="04A0" w:firstRow="1" w:lastRow="0" w:firstColumn="1" w:lastColumn="0" w:noHBand="0" w:noVBand="1"/>
      </w:tblPr>
      <w:tblGrid>
        <w:gridCol w:w="9631"/>
      </w:tblGrid>
      <w:tr w:rsidR="0003133E" w14:paraId="346CEE00" w14:textId="77777777" w:rsidTr="0003133E">
        <w:tc>
          <w:tcPr>
            <w:tcW w:w="9631" w:type="dxa"/>
          </w:tcPr>
          <w:p w14:paraId="383D6A2F" w14:textId="3778D286" w:rsidR="0003133E" w:rsidRPr="0003133E" w:rsidRDefault="0003133E" w:rsidP="0003133E">
            <w:pPr>
              <w:rPr>
                <w:rFonts w:ascii="Arial" w:hAnsi="Arial" w:cs="Arial"/>
                <w:i/>
                <w:lang w:val="en-US"/>
              </w:rPr>
            </w:pPr>
            <w:r w:rsidRPr="0003133E">
              <w:rPr>
                <w:rFonts w:ascii="Arial" w:hAnsi="Arial" w:cs="Arial"/>
                <w:i/>
                <w:lang w:val="en-US"/>
              </w:rPr>
              <w:t>reproduced from [2]</w:t>
            </w:r>
          </w:p>
          <w:p w14:paraId="51F3525E" w14:textId="77777777" w:rsidR="0003133E" w:rsidRPr="000125CF" w:rsidRDefault="0003133E" w:rsidP="0003133E">
            <w:pPr>
              <w:rPr>
                <w:rFonts w:ascii="Arial" w:hAnsi="Arial" w:cs="Arial"/>
                <w:lang w:val="en-US"/>
              </w:rPr>
            </w:pPr>
            <w:r w:rsidRPr="000125CF">
              <w:rPr>
                <w:rFonts w:ascii="Arial" w:hAnsi="Arial" w:cs="Arial"/>
                <w:lang w:val="en-US"/>
              </w:rPr>
              <w:t>M</w:t>
            </w:r>
            <w:r w:rsidRPr="000125CF">
              <w:rPr>
                <w:rFonts w:ascii="Arial" w:hAnsi="Arial" w:cs="Arial"/>
                <w:vertAlign w:val="subscript"/>
                <w:lang w:val="en-US"/>
              </w:rPr>
              <w:t>PC3</w:t>
            </w:r>
            <w:r w:rsidRPr="000125CF">
              <w:rPr>
                <w:rFonts w:ascii="Arial" w:hAnsi="Arial" w:cs="Arial"/>
                <w:lang w:val="en-US"/>
              </w:rPr>
              <w:t xml:space="preserve"> = </w:t>
            </w:r>
            <w:r w:rsidRPr="000125CF">
              <w:rPr>
                <w:rFonts w:ascii="Arial" w:hAnsi="Arial" w:cs="Arial"/>
                <w:lang w:val="en-US"/>
              </w:rPr>
              <w:tab/>
              <w:t xml:space="preserve">5.5; </w:t>
            </w:r>
            <w:r w:rsidRPr="000125CF">
              <w:rPr>
                <w:rFonts w:ascii="Arial" w:hAnsi="Arial" w:cs="Arial"/>
                <w:lang w:val="en-US"/>
              </w:rPr>
              <w:tab/>
              <w:t xml:space="preserve">0 ≤ B &lt; 1.08 </w:t>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t>M</w:t>
            </w:r>
            <w:r w:rsidRPr="000125CF">
              <w:rPr>
                <w:rFonts w:ascii="Arial" w:hAnsi="Arial" w:cs="Arial"/>
                <w:vertAlign w:val="subscript"/>
                <w:lang w:val="en-US"/>
              </w:rPr>
              <w:t>PC2</w:t>
            </w:r>
            <w:r w:rsidRPr="000125CF">
              <w:rPr>
                <w:rFonts w:ascii="Arial" w:hAnsi="Arial" w:cs="Arial"/>
                <w:lang w:val="en-US"/>
              </w:rPr>
              <w:t xml:space="preserve"> = </w:t>
            </w:r>
            <w:r w:rsidRPr="000125CF">
              <w:rPr>
                <w:rFonts w:ascii="Arial" w:hAnsi="Arial" w:cs="Arial"/>
                <w:lang w:val="en-US"/>
              </w:rPr>
              <w:tab/>
              <w:t xml:space="preserve">6.5; </w:t>
            </w:r>
            <w:r w:rsidRPr="000125CF">
              <w:rPr>
                <w:rFonts w:ascii="Arial" w:hAnsi="Arial" w:cs="Arial"/>
                <w:lang w:val="en-US"/>
              </w:rPr>
              <w:tab/>
              <w:t>0 ≤ B &lt; 1.08</w:t>
            </w:r>
          </w:p>
          <w:p w14:paraId="7EABC06E" w14:textId="2148251F" w:rsidR="0003133E" w:rsidRPr="000125CF" w:rsidRDefault="0003133E" w:rsidP="0003133E">
            <w:pPr>
              <w:rPr>
                <w:rFonts w:ascii="Arial" w:hAnsi="Arial" w:cs="Arial"/>
                <w:lang w:val="en-US"/>
              </w:rPr>
            </w:pP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t xml:space="preserve">3.5; </w:t>
            </w:r>
            <w:r w:rsidRPr="000125CF">
              <w:rPr>
                <w:rFonts w:ascii="Arial" w:hAnsi="Arial" w:cs="Arial"/>
                <w:lang w:val="en-US"/>
              </w:rPr>
              <w:tab/>
              <w:t xml:space="preserve">1.08 ≤ B &lt; 3.24 </w:t>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t xml:space="preserve">5; </w:t>
            </w:r>
            <w:r w:rsidRPr="000125CF">
              <w:rPr>
                <w:rFonts w:ascii="Arial" w:hAnsi="Arial" w:cs="Arial"/>
                <w:lang w:val="en-US"/>
              </w:rPr>
              <w:tab/>
            </w:r>
            <w:r>
              <w:rPr>
                <w:rFonts w:ascii="Arial" w:hAnsi="Arial" w:cs="Arial"/>
                <w:lang w:val="en-US"/>
              </w:rPr>
              <w:tab/>
            </w:r>
            <w:r w:rsidRPr="000125CF">
              <w:rPr>
                <w:rFonts w:ascii="Arial" w:hAnsi="Arial" w:cs="Arial"/>
                <w:lang w:val="en-US"/>
              </w:rPr>
              <w:t>1.08 ≤ B &lt; 3.24</w:t>
            </w:r>
          </w:p>
          <w:p w14:paraId="1E022576" w14:textId="77777777" w:rsidR="0003133E" w:rsidRPr="000125CF" w:rsidRDefault="0003133E" w:rsidP="0003133E">
            <w:pPr>
              <w:rPr>
                <w:rFonts w:ascii="Arial" w:hAnsi="Arial" w:cs="Arial"/>
                <w:lang w:val="en-US"/>
              </w:rPr>
            </w:pP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t xml:space="preserve">2; </w:t>
            </w:r>
            <w:r w:rsidRPr="000125CF">
              <w:rPr>
                <w:rFonts w:ascii="Arial" w:hAnsi="Arial" w:cs="Arial"/>
                <w:lang w:val="en-US"/>
              </w:rPr>
              <w:tab/>
            </w:r>
            <w:r w:rsidRPr="000125CF">
              <w:rPr>
                <w:rFonts w:ascii="Arial" w:hAnsi="Arial" w:cs="Arial"/>
                <w:lang w:val="en-US"/>
              </w:rPr>
              <w:tab/>
              <w:t xml:space="preserve">3.24 ≤ B &lt; 4.5 </w:t>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t xml:space="preserve">3; </w:t>
            </w:r>
            <w:r w:rsidRPr="000125CF">
              <w:rPr>
                <w:rFonts w:ascii="Arial" w:hAnsi="Arial" w:cs="Arial"/>
                <w:lang w:val="en-US"/>
              </w:rPr>
              <w:tab/>
            </w:r>
            <w:r w:rsidRPr="000125CF">
              <w:rPr>
                <w:rFonts w:ascii="Arial" w:hAnsi="Arial" w:cs="Arial"/>
                <w:lang w:val="en-US"/>
              </w:rPr>
              <w:tab/>
              <w:t>3.24 ≤ B &lt; 4.5</w:t>
            </w:r>
          </w:p>
          <w:p w14:paraId="5363F01D" w14:textId="0E6BA18A" w:rsidR="0003133E" w:rsidRPr="000125CF" w:rsidRDefault="0073565C" w:rsidP="0003133E">
            <w:pPr>
              <w:ind w:left="568" w:firstLine="284"/>
              <w:rPr>
                <w:rFonts w:ascii="Arial" w:hAnsi="Arial" w:cs="Arial"/>
                <w:lang w:val="en-US"/>
              </w:rPr>
            </w:pPr>
            <w:r>
              <w:rPr>
                <w:rFonts w:ascii="Arial" w:hAnsi="Arial" w:cs="Arial"/>
                <w:lang w:val="en-US"/>
              </w:rPr>
              <w:t xml:space="preserve">1.5;   </w:t>
            </w:r>
            <w:r w:rsidR="0003133E" w:rsidRPr="000125CF">
              <w:rPr>
                <w:rFonts w:ascii="Arial" w:hAnsi="Arial" w:cs="Arial"/>
                <w:lang w:val="en-US"/>
              </w:rPr>
              <w:t xml:space="preserve">4.5 ≤ B &lt; 9 </w:t>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r>
            <w:r w:rsidR="0003133E" w:rsidRPr="000125CF">
              <w:rPr>
                <w:rFonts w:ascii="Arial" w:hAnsi="Arial" w:cs="Arial"/>
                <w:lang w:val="en-US"/>
              </w:rPr>
              <w:tab/>
              <w:t xml:space="preserve">2;    </w:t>
            </w:r>
            <w:r w:rsidR="0003133E">
              <w:rPr>
                <w:rFonts w:ascii="Arial" w:hAnsi="Arial" w:cs="Arial"/>
                <w:lang w:val="en-US"/>
              </w:rPr>
              <w:tab/>
            </w:r>
            <w:r w:rsidR="0003133E" w:rsidRPr="000125CF">
              <w:rPr>
                <w:rFonts w:ascii="Arial" w:hAnsi="Arial" w:cs="Arial"/>
                <w:lang w:val="en-US"/>
              </w:rPr>
              <w:t xml:space="preserve">4.5 ≤ B &lt; </w:t>
            </w:r>
            <w:r w:rsidR="0003133E">
              <w:rPr>
                <w:rFonts w:ascii="Arial" w:hAnsi="Arial" w:cs="Arial"/>
                <w:lang w:val="en-US"/>
              </w:rPr>
              <w:t>11.52</w:t>
            </w:r>
          </w:p>
          <w:p w14:paraId="1906C980" w14:textId="52844AFB" w:rsidR="0003133E" w:rsidRPr="0003133E" w:rsidRDefault="0003133E" w:rsidP="0003133E">
            <w:pPr>
              <w:ind w:left="568" w:firstLine="284"/>
              <w:rPr>
                <w:rFonts w:ascii="Arial" w:hAnsi="Arial" w:cs="Arial"/>
                <w:lang w:val="en-US"/>
              </w:rPr>
            </w:pPr>
            <w:r w:rsidRPr="000125CF">
              <w:rPr>
                <w:rFonts w:ascii="Arial" w:hAnsi="Arial" w:cs="Arial"/>
                <w:lang w:val="en-US"/>
              </w:rPr>
              <w:t xml:space="preserve">0;    </w:t>
            </w:r>
            <w:r w:rsidRPr="000125CF">
              <w:rPr>
                <w:rFonts w:ascii="Arial" w:hAnsi="Arial" w:cs="Arial"/>
                <w:lang w:val="en-US"/>
              </w:rPr>
              <w:tab/>
              <w:t xml:space="preserve">9 ≤ B </w:t>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r>
            <w:r w:rsidRPr="000125CF">
              <w:rPr>
                <w:rFonts w:ascii="Arial" w:hAnsi="Arial" w:cs="Arial"/>
                <w:lang w:val="en-US"/>
              </w:rPr>
              <w:tab/>
              <w:t xml:space="preserve">0;    </w:t>
            </w:r>
            <w:r w:rsidRPr="000125CF">
              <w:rPr>
                <w:rFonts w:ascii="Arial" w:hAnsi="Arial" w:cs="Arial"/>
                <w:lang w:val="en-US"/>
              </w:rPr>
              <w:tab/>
            </w:r>
            <w:r>
              <w:rPr>
                <w:rFonts w:ascii="Arial" w:hAnsi="Arial" w:cs="Arial"/>
                <w:lang w:val="en-US"/>
              </w:rPr>
              <w:t>11.52</w:t>
            </w:r>
            <w:r w:rsidRPr="000125CF">
              <w:rPr>
                <w:rFonts w:ascii="Arial" w:hAnsi="Arial" w:cs="Arial"/>
                <w:lang w:val="en-US"/>
              </w:rPr>
              <w:t xml:space="preserve"> ≤ B</w:t>
            </w:r>
          </w:p>
        </w:tc>
      </w:tr>
    </w:tbl>
    <w:p w14:paraId="26B17CB8" w14:textId="6F437375" w:rsidR="00DC7754" w:rsidRDefault="00DC7754" w:rsidP="00862E42">
      <w:pPr>
        <w:jc w:val="both"/>
      </w:pPr>
      <w:r>
        <w:t>Since in last meeting RAN4 has agreed that n</w:t>
      </w:r>
      <w:r w:rsidRPr="004B64F5">
        <w:rPr>
          <w:rFonts w:eastAsiaTheme="minorEastAsia"/>
          <w:color w:val="000000" w:themeColor="text1"/>
        </w:rPr>
        <w:t>o change of applicable MPR requirement in current spec</w:t>
      </w:r>
      <w:r>
        <w:rPr>
          <w:rFonts w:eastAsiaTheme="minorEastAsia"/>
          <w:color w:val="000000" w:themeColor="text1"/>
        </w:rPr>
        <w:t xml:space="preserve"> for FR1 intra-band non-contiguous ULCA in general, we prefer not to reflect the aforementioned 4dB gap for this specific case especially at the late stage of this release.</w:t>
      </w:r>
    </w:p>
    <w:p w14:paraId="494A2156" w14:textId="5E551AC4" w:rsidR="00DC7754" w:rsidRDefault="00862E42" w:rsidP="00862E42">
      <w:pPr>
        <w:jc w:val="both"/>
        <w:rPr>
          <w:b/>
          <w:i/>
        </w:rPr>
      </w:pPr>
      <w:r>
        <w:rPr>
          <w:b/>
          <w:i/>
        </w:rPr>
        <w:t xml:space="preserve">Proposal 1: </w:t>
      </w:r>
      <w:r w:rsidR="00DC7754">
        <w:rPr>
          <w:b/>
          <w:i/>
        </w:rPr>
        <w:t xml:space="preserve">No need to consider </w:t>
      </w:r>
      <w:r w:rsidR="00DC7754" w:rsidRPr="00DC7754">
        <w:rPr>
          <w:b/>
          <w:i/>
        </w:rPr>
        <w:t>update MPR for Single CC Fallback from Non-contiguous ULCA without dual PA support</w:t>
      </w:r>
      <w:r w:rsidR="00DC7754">
        <w:rPr>
          <w:b/>
          <w:i/>
        </w:rPr>
        <w:t>.</w:t>
      </w:r>
    </w:p>
    <w:p w14:paraId="30A587FB" w14:textId="77777777" w:rsidR="0073565C" w:rsidRDefault="00DC7754" w:rsidP="0073565C">
      <w:pPr>
        <w:jc w:val="both"/>
      </w:pPr>
      <w:r>
        <w:t>Another thing that needs to be determined is the granularity of the UE capabili</w:t>
      </w:r>
      <w:r w:rsidR="0073565C">
        <w:t>ty for Rel-19 FR1 intra-band UL</w:t>
      </w:r>
      <w:r>
        <w:t xml:space="preserve">CA. As </w:t>
      </w:r>
      <w:r w:rsidR="0073565C">
        <w:t>the</w:t>
      </w:r>
      <w:r>
        <w:t xml:space="preserve"> </w:t>
      </w:r>
      <w:r w:rsidR="0073565C">
        <w:t>previous</w:t>
      </w:r>
      <w:r>
        <w:t xml:space="preserve"> discussion related to the feasibility of MPR applicability </w:t>
      </w:r>
      <w:r w:rsidR="0073565C">
        <w:t xml:space="preserve">would depend on whether the UE supports </w:t>
      </w:r>
      <w:r w:rsidR="0073565C" w:rsidRPr="00935BBA">
        <w:rPr>
          <w:i/>
        </w:rPr>
        <w:t>dualPA-architecture</w:t>
      </w:r>
      <w:r w:rsidR="0073565C">
        <w:t>, which is a per BC capability, we think it is more appropriate to introduce the UE capability for Rel-19 FR1 intra-band UL CA as per BC as well, whether to consider separate capability for contiguous and non-contiguous case can be FFS.</w:t>
      </w:r>
    </w:p>
    <w:p w14:paraId="19477683" w14:textId="66D12E6A" w:rsidR="0073565C" w:rsidRDefault="0073565C" w:rsidP="0073565C">
      <w:pPr>
        <w:jc w:val="both"/>
      </w:pPr>
      <w:r>
        <w:rPr>
          <w:b/>
          <w:i/>
        </w:rPr>
        <w:t>Proposal 2: The granularity of Rel-19 UE capability on FR1 intra-band UL CA MPR improvement should be per BC. Whether separate capabilities for contiguous and non-contiguous case can be FFS.</w:t>
      </w:r>
    </w:p>
    <w:p w14:paraId="7CBF2A43" w14:textId="064F78F0"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57E7DE21" w14:textId="77777777" w:rsidR="00862E42" w:rsidRDefault="00AB1467" w:rsidP="00AA2D97">
      <w:pPr>
        <w:jc w:val="both"/>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w:t>
      </w:r>
      <w:r w:rsidR="00DC22DE">
        <w:t>1</w:t>
      </w:r>
      <w:r w:rsidR="00971FB1" w:rsidRPr="00971FB1">
        <w:t xml:space="preserve"> </w:t>
      </w:r>
      <w:r w:rsidR="00DC22DE">
        <w:t xml:space="preserve">intra-band UL </w:t>
      </w:r>
      <w:r w:rsidR="00971FB1" w:rsidRPr="00971FB1">
        <w:t>CA</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p>
    <w:p w14:paraId="439C77AB" w14:textId="77777777" w:rsidR="0073565C" w:rsidRDefault="0073565C" w:rsidP="0073565C">
      <w:pPr>
        <w:jc w:val="both"/>
        <w:rPr>
          <w:b/>
          <w:i/>
        </w:rPr>
      </w:pPr>
      <w:r>
        <w:rPr>
          <w:b/>
          <w:i/>
        </w:rPr>
        <w:t xml:space="preserve">Proposal 1: No need to consider </w:t>
      </w:r>
      <w:r w:rsidRPr="00DC7754">
        <w:rPr>
          <w:b/>
          <w:i/>
        </w:rPr>
        <w:t>update MPR for Single CC Fallback from Non-contiguous ULCA without dual PA support</w:t>
      </w:r>
      <w:r>
        <w:rPr>
          <w:b/>
          <w:i/>
        </w:rPr>
        <w:t>.</w:t>
      </w:r>
    </w:p>
    <w:p w14:paraId="12C19CED" w14:textId="77777777" w:rsidR="0073565C" w:rsidRDefault="0073565C" w:rsidP="0073565C">
      <w:pPr>
        <w:jc w:val="both"/>
      </w:pPr>
      <w:r>
        <w:rPr>
          <w:b/>
          <w:i/>
        </w:rPr>
        <w:t>Proposal 2: The granularity of Rel-19 UE capability on FR1 intra-band UL CA MPR improvement should be per BC. Whether separate capabilities for contiguous and non-contiguous case can be FFS.</w:t>
      </w:r>
    </w:p>
    <w:p w14:paraId="5BA5CC12" w14:textId="71AE872A" w:rsidR="007F52CF" w:rsidRPr="0057546E" w:rsidRDefault="007F52CF" w:rsidP="00DC22DE">
      <w:pPr>
        <w:rPr>
          <w:b/>
          <w:i/>
        </w:rPr>
      </w:pPr>
    </w:p>
    <w:p w14:paraId="6E4DEA30" w14:textId="77777777" w:rsidR="00B22DA6" w:rsidRPr="00012234" w:rsidRDefault="00B22DA6" w:rsidP="00B22DA6">
      <w:pPr>
        <w:pStyle w:val="1"/>
        <w:numPr>
          <w:ilvl w:val="0"/>
          <w:numId w:val="0"/>
        </w:numPr>
        <w:rPr>
          <w:rFonts w:eastAsia="宋体"/>
          <w:lang w:val="it-IT" w:eastAsia="zh-CN"/>
        </w:rPr>
      </w:pPr>
      <w:r>
        <w:t>References</w:t>
      </w:r>
    </w:p>
    <w:p w14:paraId="169C776E" w14:textId="0946788C" w:rsidR="0067071C" w:rsidRPr="00012234" w:rsidRDefault="00F43858" w:rsidP="0049165E">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45485B">
        <w:t>24</w:t>
      </w:r>
      <w:r>
        <w:t xml:space="preserve">20527, </w:t>
      </w:r>
      <w:r w:rsidRPr="001D14BB">
        <w:t>“</w:t>
      </w:r>
      <w:r w:rsidRPr="008741F1">
        <w:t>WF on power domain enhancements</w:t>
      </w:r>
      <w:r w:rsidRPr="001D14BB">
        <w:t xml:space="preserve">”, </w:t>
      </w:r>
      <w:r>
        <w:t>Huawei, HiSilicon</w:t>
      </w:r>
      <w:r w:rsidRPr="001D14BB">
        <w:t>, 3GPP TSG-RAN</w:t>
      </w:r>
      <w:r>
        <w:t>4</w:t>
      </w:r>
      <w:r w:rsidRPr="001D14BB">
        <w:t xml:space="preserve"> Meeting #1</w:t>
      </w:r>
      <w:r>
        <w:t>13</w:t>
      </w:r>
      <w:r w:rsidRPr="001D14BB">
        <w:t xml:space="preserve">, </w:t>
      </w:r>
      <w:r>
        <w:t>Orlando</w:t>
      </w:r>
      <w:r w:rsidRPr="00E90FD4">
        <w:t>,</w:t>
      </w:r>
      <w:r>
        <w:t xml:space="preserve"> US,</w:t>
      </w:r>
      <w:r w:rsidRPr="001D14BB">
        <w:t xml:space="preserve"> </w:t>
      </w:r>
      <w:r>
        <w:t>November</w:t>
      </w:r>
      <w:r w:rsidRPr="001D14BB">
        <w:t xml:space="preserve"> </w:t>
      </w:r>
      <w:r>
        <w:t>18-22</w:t>
      </w:r>
      <w:r w:rsidRPr="001D14BB">
        <w:t>, 2024</w:t>
      </w:r>
      <w:r w:rsidR="00BB41AF">
        <w:t>.</w:t>
      </w:r>
    </w:p>
    <w:p w14:paraId="5DFABD0E" w14:textId="2B85768E" w:rsidR="00012234" w:rsidRPr="00DF553A" w:rsidRDefault="00012234" w:rsidP="00012234">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R4-2419463, “</w:t>
      </w:r>
      <w:r w:rsidRPr="00D20EDD">
        <w:rPr>
          <w:lang w:val="en-US" w:eastAsia="ja-JP"/>
        </w:rPr>
        <w:t>NC-ULCA Single CC Fallback MPR</w:t>
      </w:r>
      <w:r>
        <w:rPr>
          <w:lang w:val="it-IT" w:eastAsia="ja-JP"/>
        </w:rPr>
        <w:t>”</w:t>
      </w:r>
      <w:r w:rsidRPr="001D14BB">
        <w:t xml:space="preserve">, </w:t>
      </w:r>
      <w:r>
        <w:t xml:space="preserve">Murata, </w:t>
      </w:r>
      <w:r w:rsidRPr="001D14BB">
        <w:t>3GPP TSG-RAN</w:t>
      </w:r>
      <w:r>
        <w:t>4</w:t>
      </w:r>
      <w:r w:rsidRPr="001D14BB">
        <w:t xml:space="preserve"> Meeting #1</w:t>
      </w:r>
      <w:r>
        <w:t>13</w:t>
      </w:r>
      <w:r w:rsidRPr="001D14BB">
        <w:t xml:space="preserve">, </w:t>
      </w:r>
      <w:r>
        <w:t>Orlando</w:t>
      </w:r>
      <w:r w:rsidRPr="00E90FD4">
        <w:t>,</w:t>
      </w:r>
      <w:r>
        <w:t xml:space="preserve"> US,</w:t>
      </w:r>
      <w:r w:rsidRPr="001D14BB">
        <w:t xml:space="preserve"> </w:t>
      </w:r>
      <w:r>
        <w:t>November</w:t>
      </w:r>
      <w:r w:rsidRPr="001D14BB">
        <w:t xml:space="preserve"> </w:t>
      </w:r>
      <w:r>
        <w:t>18-22</w:t>
      </w:r>
      <w:r w:rsidRPr="001D14BB">
        <w:t>, 2024</w:t>
      </w:r>
      <w:r>
        <w:t>.</w:t>
      </w:r>
    </w:p>
    <w:p w14:paraId="4D3CC468" w14:textId="66D8ABEA" w:rsidR="00DF553A" w:rsidRPr="00FD057B" w:rsidRDefault="00DF553A" w:rsidP="00FD057B">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R4-2204225, “1CC Fallback MPR for NC ULCA with 1LO Architecture”, Qualcomm, TSG-</w:t>
      </w:r>
      <w:r w:rsidRPr="00DF553A">
        <w:rPr>
          <w:lang w:val="en-CA" w:eastAsia="ja-JP"/>
        </w:rPr>
        <w:t xml:space="preserve">RAN4#102e, </w:t>
      </w:r>
      <w:r>
        <w:rPr>
          <w:lang w:val="en-CA" w:eastAsia="ja-JP"/>
        </w:rPr>
        <w:t xml:space="preserve">e-meeting, February </w:t>
      </w:r>
      <w:r w:rsidRPr="00DF553A">
        <w:rPr>
          <w:lang w:val="en-CA" w:eastAsia="ja-JP"/>
        </w:rPr>
        <w:t>21</w:t>
      </w:r>
      <w:r w:rsidRPr="00DF553A">
        <w:rPr>
          <w:vertAlign w:val="superscript"/>
          <w:lang w:val="en-CA" w:eastAsia="ja-JP"/>
        </w:rPr>
        <w:t>st</w:t>
      </w:r>
      <w:r w:rsidRPr="00DF553A">
        <w:rPr>
          <w:lang w:val="en-CA" w:eastAsia="ja-JP"/>
        </w:rPr>
        <w:t xml:space="preserve"> </w:t>
      </w:r>
      <w:r>
        <w:rPr>
          <w:lang w:val="en-CA" w:eastAsia="ja-JP"/>
        </w:rPr>
        <w:t>- March</w:t>
      </w:r>
      <w:r w:rsidRPr="00DF553A">
        <w:rPr>
          <w:lang w:val="en-CA" w:eastAsia="ja-JP"/>
        </w:rPr>
        <w:t xml:space="preserve"> 3</w:t>
      </w:r>
      <w:r w:rsidRPr="00DF553A">
        <w:rPr>
          <w:vertAlign w:val="superscript"/>
          <w:lang w:val="en-CA" w:eastAsia="ja-JP"/>
        </w:rPr>
        <w:t>rd</w:t>
      </w:r>
      <w:r w:rsidRPr="00DF553A">
        <w:rPr>
          <w:lang w:val="en-CA" w:eastAsia="ja-JP"/>
        </w:rPr>
        <w:t>, 2022</w:t>
      </w:r>
      <w:r>
        <w:rPr>
          <w:lang w:val="en-CA" w:eastAsia="ja-JP"/>
        </w:rPr>
        <w:t>.</w:t>
      </w:r>
    </w:p>
    <w:sectPr w:rsidR="00DF553A" w:rsidRPr="00FD057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D71C4" w14:textId="77777777" w:rsidR="00CA5867" w:rsidRDefault="00CA5867" w:rsidP="0052762B">
      <w:r>
        <w:separator/>
      </w:r>
    </w:p>
  </w:endnote>
  <w:endnote w:type="continuationSeparator" w:id="0">
    <w:p w14:paraId="3CF1F215" w14:textId="77777777" w:rsidR="00CA5867" w:rsidRDefault="00CA586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82ADE" w14:textId="77777777" w:rsidR="00CA5867" w:rsidRDefault="00CA5867" w:rsidP="0052762B">
      <w:r>
        <w:separator/>
      </w:r>
    </w:p>
  </w:footnote>
  <w:footnote w:type="continuationSeparator" w:id="0">
    <w:p w14:paraId="552FFA03" w14:textId="77777777" w:rsidR="00CA5867" w:rsidRDefault="00CA586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2"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4"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B6568FB"/>
    <w:multiLevelType w:val="hybridMultilevel"/>
    <w:tmpl w:val="DC66F7F2"/>
    <w:lvl w:ilvl="0" w:tplc="41502510">
      <w:start w:val="1"/>
      <w:numFmt w:val="bullet"/>
      <w:lvlText w:val=""/>
      <w:lvlJc w:val="left"/>
      <w:pPr>
        <w:ind w:left="560" w:hanging="360"/>
      </w:pPr>
      <w:rPr>
        <w:rFonts w:ascii="Wingdings" w:hAnsi="Wingdings"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4"/>
  </w:num>
  <w:num w:numId="4">
    <w:abstractNumId w:val="39"/>
  </w:num>
  <w:num w:numId="5">
    <w:abstractNumId w:val="38"/>
  </w:num>
  <w:num w:numId="6">
    <w:abstractNumId w:val="18"/>
  </w:num>
  <w:num w:numId="7">
    <w:abstractNumId w:val="31"/>
  </w:num>
  <w:num w:numId="8">
    <w:abstractNumId w:val="44"/>
  </w:num>
  <w:num w:numId="9">
    <w:abstractNumId w:val="15"/>
  </w:num>
  <w:num w:numId="10">
    <w:abstractNumId w:val="42"/>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1"/>
  </w:num>
  <w:num w:numId="14">
    <w:abstractNumId w:val="32"/>
  </w:num>
  <w:num w:numId="15">
    <w:abstractNumId w:val="4"/>
  </w:num>
  <w:num w:numId="16">
    <w:abstractNumId w:val="22"/>
  </w:num>
  <w:num w:numId="17">
    <w:abstractNumId w:val="16"/>
  </w:num>
  <w:num w:numId="18">
    <w:abstractNumId w:val="6"/>
  </w:num>
  <w:num w:numId="19">
    <w:abstractNumId w:val="3"/>
  </w:num>
  <w:num w:numId="20">
    <w:abstractNumId w:val="12"/>
  </w:num>
  <w:num w:numId="21">
    <w:abstractNumId w:val="26"/>
  </w:num>
  <w:num w:numId="22">
    <w:abstractNumId w:val="5"/>
  </w:num>
  <w:num w:numId="23">
    <w:abstractNumId w:val="27"/>
  </w:num>
  <w:num w:numId="24">
    <w:abstractNumId w:val="28"/>
  </w:num>
  <w:num w:numId="25">
    <w:abstractNumId w:val="37"/>
  </w:num>
  <w:num w:numId="26">
    <w:abstractNumId w:val="13"/>
  </w:num>
  <w:num w:numId="27">
    <w:abstractNumId w:val="23"/>
  </w:num>
  <w:num w:numId="28">
    <w:abstractNumId w:val="19"/>
  </w:num>
  <w:num w:numId="29">
    <w:abstractNumId w:val="7"/>
  </w:num>
  <w:num w:numId="30">
    <w:abstractNumId w:val="43"/>
  </w:num>
  <w:num w:numId="31">
    <w:abstractNumId w:val="9"/>
  </w:num>
  <w:num w:numId="32">
    <w:abstractNumId w:val="33"/>
  </w:num>
  <w:num w:numId="33">
    <w:abstractNumId w:val="34"/>
  </w:num>
  <w:num w:numId="34">
    <w:abstractNumId w:val="36"/>
  </w:num>
  <w:num w:numId="35">
    <w:abstractNumId w:val="40"/>
  </w:num>
  <w:num w:numId="36">
    <w:abstractNumId w:val="1"/>
  </w:num>
  <w:num w:numId="37">
    <w:abstractNumId w:val="25"/>
  </w:num>
  <w:num w:numId="38">
    <w:abstractNumId w:val="35"/>
  </w:num>
  <w:num w:numId="39">
    <w:abstractNumId w:val="14"/>
  </w:num>
  <w:num w:numId="40">
    <w:abstractNumId w:val="2"/>
  </w:num>
  <w:num w:numId="41">
    <w:abstractNumId w:val="41"/>
  </w:num>
  <w:num w:numId="42">
    <w:abstractNumId w:val="17"/>
  </w:num>
  <w:num w:numId="43">
    <w:abstractNumId w:val="11"/>
  </w:num>
  <w:num w:numId="44">
    <w:abstractNumId w:val="8"/>
  </w:num>
  <w:num w:numId="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0884"/>
    <w:rsid w:val="000116BD"/>
    <w:rsid w:val="00012217"/>
    <w:rsid w:val="00012234"/>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3E"/>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D7B"/>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AFC"/>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4A4"/>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518"/>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0E7"/>
    <w:rsid w:val="000E51BF"/>
    <w:rsid w:val="000E692C"/>
    <w:rsid w:val="000E6B6B"/>
    <w:rsid w:val="000E6C44"/>
    <w:rsid w:val="000E72B4"/>
    <w:rsid w:val="000E79C6"/>
    <w:rsid w:val="000E7FC4"/>
    <w:rsid w:val="000F031A"/>
    <w:rsid w:val="000F0576"/>
    <w:rsid w:val="000F0849"/>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00E"/>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623"/>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43"/>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8A6"/>
    <w:rsid w:val="001A6ADE"/>
    <w:rsid w:val="001A73C7"/>
    <w:rsid w:val="001A7A02"/>
    <w:rsid w:val="001A7A1C"/>
    <w:rsid w:val="001B014E"/>
    <w:rsid w:val="001B044D"/>
    <w:rsid w:val="001B07B2"/>
    <w:rsid w:val="001B14C1"/>
    <w:rsid w:val="001B15B6"/>
    <w:rsid w:val="001B1E2E"/>
    <w:rsid w:val="001B2F1D"/>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3CF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4D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75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2C"/>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12C8"/>
    <w:rsid w:val="00362AC0"/>
    <w:rsid w:val="00362D28"/>
    <w:rsid w:val="00363314"/>
    <w:rsid w:val="00363852"/>
    <w:rsid w:val="00363A78"/>
    <w:rsid w:val="00364D7D"/>
    <w:rsid w:val="0036538E"/>
    <w:rsid w:val="003653DC"/>
    <w:rsid w:val="00365743"/>
    <w:rsid w:val="00365767"/>
    <w:rsid w:val="00366201"/>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75"/>
    <w:rsid w:val="003C5AA9"/>
    <w:rsid w:val="003C5C76"/>
    <w:rsid w:val="003C6879"/>
    <w:rsid w:val="003C68D2"/>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743"/>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347"/>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1AD"/>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CC9"/>
    <w:rsid w:val="00485764"/>
    <w:rsid w:val="00485A2D"/>
    <w:rsid w:val="00485C7E"/>
    <w:rsid w:val="00485F39"/>
    <w:rsid w:val="00486219"/>
    <w:rsid w:val="00486755"/>
    <w:rsid w:val="00486982"/>
    <w:rsid w:val="0048714A"/>
    <w:rsid w:val="00487237"/>
    <w:rsid w:val="004879E3"/>
    <w:rsid w:val="00487BCB"/>
    <w:rsid w:val="00487D57"/>
    <w:rsid w:val="00490145"/>
    <w:rsid w:val="00490287"/>
    <w:rsid w:val="00490FAB"/>
    <w:rsid w:val="0049165E"/>
    <w:rsid w:val="0049171C"/>
    <w:rsid w:val="00491C2E"/>
    <w:rsid w:val="00491C84"/>
    <w:rsid w:val="00492404"/>
    <w:rsid w:val="004928A5"/>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1B3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BCA"/>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4F5"/>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391"/>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560"/>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D15"/>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B43"/>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BA0"/>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0C79"/>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2015"/>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A31"/>
    <w:rsid w:val="006C6E8D"/>
    <w:rsid w:val="006D07F7"/>
    <w:rsid w:val="006D0DAB"/>
    <w:rsid w:val="006D0F3F"/>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4A2"/>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65C"/>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54C"/>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F21"/>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254"/>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5A8D"/>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2E42"/>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4A8"/>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6A8F"/>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1914"/>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61A"/>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BBA"/>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5E6F"/>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AAC"/>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BF9"/>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327"/>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38F"/>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69"/>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3E"/>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20E"/>
    <w:rsid w:val="00CA4ECB"/>
    <w:rsid w:val="00CA5291"/>
    <w:rsid w:val="00CA5867"/>
    <w:rsid w:val="00CA58EE"/>
    <w:rsid w:val="00CA599D"/>
    <w:rsid w:val="00CA5F1E"/>
    <w:rsid w:val="00CA6219"/>
    <w:rsid w:val="00CA6ABF"/>
    <w:rsid w:val="00CA73EE"/>
    <w:rsid w:val="00CA77A1"/>
    <w:rsid w:val="00CA7927"/>
    <w:rsid w:val="00CA7A66"/>
    <w:rsid w:val="00CB0608"/>
    <w:rsid w:val="00CB0665"/>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D4B"/>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4E34"/>
    <w:rsid w:val="00D84F5D"/>
    <w:rsid w:val="00D85402"/>
    <w:rsid w:val="00D86C34"/>
    <w:rsid w:val="00D86C6C"/>
    <w:rsid w:val="00D905FA"/>
    <w:rsid w:val="00D906B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5CED"/>
    <w:rsid w:val="00DC714E"/>
    <w:rsid w:val="00DC718A"/>
    <w:rsid w:val="00DC7754"/>
    <w:rsid w:val="00DD05F3"/>
    <w:rsid w:val="00DD0CE1"/>
    <w:rsid w:val="00DD0DB9"/>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53A"/>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8D7"/>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101"/>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3FE"/>
    <w:rsid w:val="00EC07E1"/>
    <w:rsid w:val="00EC1618"/>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A41"/>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8"/>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83B"/>
    <w:rsid w:val="00F52E8C"/>
    <w:rsid w:val="00F535A2"/>
    <w:rsid w:val="00F53BC0"/>
    <w:rsid w:val="00F53F1E"/>
    <w:rsid w:val="00F5490C"/>
    <w:rsid w:val="00F55417"/>
    <w:rsid w:val="00F55B70"/>
    <w:rsid w:val="00F5606F"/>
    <w:rsid w:val="00F56804"/>
    <w:rsid w:val="00F56E8B"/>
    <w:rsid w:val="00F57293"/>
    <w:rsid w:val="00F57981"/>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7B"/>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A745A-6D93-44D3-A76B-8AE95DFD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2431</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130</cp:revision>
  <cp:lastPrinted>2010-01-07T02:23:00Z</cp:lastPrinted>
  <dcterms:created xsi:type="dcterms:W3CDTF">2024-04-07T12:55:00Z</dcterms:created>
  <dcterms:modified xsi:type="dcterms:W3CDTF">2025-02-07T15:50:00Z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(3)Tdobb9miSU7/mGcPkUA/4yz2ibN6TE1ONpkHPhB19bEilredBzuwJF3QAXXh9f/jWaHtfxWJ
44YQqA0EvM6yxABshraot1OV9Hu7teLWkDXt/5mx4OWf071EpYwXX1lEfIpOg3ehFMO58Yzf
NSYYlNAF/S+w/5L4I7iclqq548tmtZtQQfNPo1Z4/Y1aCrCPyJEfXefsVQmOwCYb/4thi/hc
JwP+Z9Q0jbmMkIGM0Z</vt:lpwstr>
  </property>
  <property fmtid="{D5CDD505-2E9C-101B-9397-08002B2CF9AE}" pid="15" name="_2015_ms_pID_725343_00">
    <vt:lpwstr>_2015_ms_pID_725343</vt:lpwstr>
  </property>
  <property fmtid="{D5CDD505-2E9C-101B-9397-08002B2CF9AE}" pid="16" name="_2015_ms_pID_7253431">
    <vt:lpwstr>02H6CDbhJ/fRnSO2UzludhDUDujAMf+g7HWZkQf45EicS5CoX1I3ia
sc1VCXIOdyS8WmnJNcU5GhNF9CZ7YXoVRX2IfzDPFQTL7fes2uSNO+tLQN9YRHr+FoB2SWYt
QaTufymX1piA1W2xjEuJvvayfkv7ufodBrrRHx4zHUyetvL5cATA16FSiRRO+/4Srl6A9zSK
qiMT7QYQDR2dsMCwuKeF8zjzPTbiYpfT3ZUm</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1733888810</vt:lpwstr>
  </property>
</Properties>
</file>